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numPr>
          <w:numId w:val="0"/>
        </w:numPr>
        <w:ind w:leftChars="0"/>
        <w:jc w:val="center"/>
        <w:rPr>
          <w:rFonts w:hint="eastAsia" w:cs="Times New Roman" w:asciiTheme="minorEastAsia" w:hAnsiTheme="minorEastAsia" w:eastAsiaTheme="minorEastAsia"/>
          <w:sz w:val="44"/>
          <w:szCs w:val="44"/>
          <w:lang w:eastAsia="zh-CN"/>
        </w:rPr>
      </w:pPr>
      <w:r>
        <w:rPr>
          <w:rFonts w:hint="eastAsia" w:cs="Times New Roman" w:asciiTheme="minorEastAsia" w:hAnsiTheme="minorEastAsia"/>
          <w:sz w:val="44"/>
          <w:szCs w:val="44"/>
          <w:lang w:eastAsia="zh-CN"/>
        </w:rPr>
        <w:t>健康告知</w:t>
      </w:r>
    </w:p>
    <w:p>
      <w:pPr>
        <w:pStyle w:val="8"/>
        <w:numPr>
          <w:ilvl w:val="0"/>
          <w:numId w:val="1"/>
        </w:numPr>
        <w:spacing w:line="280" w:lineRule="exact"/>
        <w:ind w:firstLineChars="0"/>
        <w:rPr>
          <w:rFonts w:cs="Times New Roman" w:asciiTheme="minorEastAsia" w:hAnsiTheme="minorEastAsia"/>
          <w:sz w:val="18"/>
          <w:szCs w:val="18"/>
        </w:rPr>
      </w:pPr>
      <w:r>
        <w:rPr>
          <w:rFonts w:hint="eastAsia" w:cs="Times New Roman" w:asciiTheme="minorEastAsia" w:hAnsiTheme="minorEastAsia"/>
          <w:sz w:val="18"/>
          <w:szCs w:val="18"/>
        </w:rPr>
        <w:t>确认如下告知事项均为“否”：</w:t>
      </w:r>
    </w:p>
    <w:p>
      <w:pPr>
        <w:pStyle w:val="9"/>
        <w:widowControl w:val="0"/>
        <w:numPr>
          <w:ilvl w:val="0"/>
          <w:numId w:val="2"/>
        </w:numPr>
        <w:adjustRightInd/>
        <w:snapToGrid/>
        <w:spacing w:after="0" w:line="280" w:lineRule="exact"/>
        <w:ind w:firstLineChars="0"/>
        <w:jc w:val="both"/>
        <w:rPr>
          <w:rStyle w:val="10"/>
          <w:rFonts w:cs="Tahoma" w:asciiTheme="minorEastAsia" w:hAnsiTheme="minorEastAsia" w:eastAsiaTheme="minorEastAsia"/>
          <w:kern w:val="2"/>
          <w:sz w:val="18"/>
          <w:szCs w:val="18"/>
        </w:rPr>
      </w:pPr>
      <w:r>
        <w:rPr>
          <w:rStyle w:val="10"/>
          <w:rFonts w:hint="eastAsia" w:cs="Tahoma" w:asciiTheme="minorEastAsia" w:hAnsiTheme="minorEastAsia" w:eastAsiaTheme="minorEastAsia"/>
          <w:sz w:val="18"/>
          <w:szCs w:val="18"/>
        </w:rPr>
        <w:t>您及本次投保的家人过去是否被保险公司解除合同或在投保、复效时被延期、拒保、附加条件承保？或曾经申请过重大疾病的理赔？</w:t>
      </w:r>
    </w:p>
    <w:p>
      <w:pPr>
        <w:pStyle w:val="9"/>
        <w:widowControl w:val="0"/>
        <w:numPr>
          <w:ilvl w:val="0"/>
          <w:numId w:val="2"/>
        </w:numPr>
        <w:adjustRightInd/>
        <w:snapToGrid/>
        <w:spacing w:after="0" w:line="280" w:lineRule="exact"/>
        <w:ind w:firstLineChars="0"/>
        <w:jc w:val="both"/>
        <w:rPr>
          <w:rStyle w:val="10"/>
          <w:rFonts w:cs="Tahoma" w:asciiTheme="minorEastAsia" w:hAnsiTheme="minorEastAsia" w:eastAsiaTheme="minorEastAsia"/>
          <w:kern w:val="2"/>
          <w:sz w:val="18"/>
          <w:szCs w:val="18"/>
        </w:rPr>
      </w:pPr>
      <w:r>
        <w:rPr>
          <w:rStyle w:val="10"/>
          <w:rFonts w:hint="eastAsia" w:cs="Tahoma" w:asciiTheme="minorEastAsia" w:hAnsiTheme="minorEastAsia" w:eastAsiaTheme="minorEastAsia"/>
          <w:sz w:val="18"/>
          <w:szCs w:val="18"/>
        </w:rPr>
        <w:t>您及本次投保的家人一年内是否去医院进行过门诊的检查、服药、手术或其他治疗但不包括普通感冒、流感或敏感症；或曾考虑短期内寻求诊疗、检查、测试、住院治疗或外科手术。过去三年内是否曾有医学检查（包括健康体检）结果异常。过去五年是否曾住院治疗检查或治疗（包括入住疗养院、康复医院等医疗机构）。</w:t>
      </w:r>
    </w:p>
    <w:p>
      <w:pPr>
        <w:pStyle w:val="9"/>
        <w:widowControl w:val="0"/>
        <w:numPr>
          <w:ilvl w:val="0"/>
          <w:numId w:val="2"/>
        </w:numPr>
        <w:adjustRightInd/>
        <w:snapToGrid/>
        <w:spacing w:after="0" w:line="280" w:lineRule="exact"/>
        <w:ind w:firstLineChars="0"/>
        <w:jc w:val="both"/>
        <w:rPr>
          <w:rStyle w:val="10"/>
          <w:rFonts w:cs="Tahoma" w:asciiTheme="minorEastAsia" w:hAnsiTheme="minorEastAsia" w:eastAsiaTheme="minorEastAsia"/>
          <w:kern w:val="2"/>
          <w:sz w:val="18"/>
          <w:szCs w:val="18"/>
        </w:rPr>
      </w:pPr>
      <w:r>
        <w:rPr>
          <w:rStyle w:val="10"/>
          <w:rFonts w:hint="eastAsia" w:cs="Tahoma" w:asciiTheme="minorEastAsia" w:hAnsiTheme="minorEastAsia" w:eastAsiaTheme="minorEastAsia"/>
          <w:sz w:val="18"/>
          <w:szCs w:val="18"/>
        </w:rPr>
        <w:t>您及本次投保的家人是否目前或过去患有下列疾病、症状？</w:t>
      </w:r>
      <w:r>
        <w:rPr>
          <w:rFonts w:hint="eastAsia" w:asciiTheme="minorEastAsia" w:hAnsiTheme="minorEastAsia" w:eastAsiaTheme="minorEastAsia"/>
          <w:sz w:val="18"/>
          <w:szCs w:val="18"/>
        </w:rPr>
        <w:t>脑、神经系统及精神方面疾病(脑膜炎、头部外伤、脑性麻痹等)，心血管疾病(高血压</w:t>
      </w:r>
      <w:r>
        <w:rPr>
          <w:rFonts w:asciiTheme="minorEastAsia" w:hAnsiTheme="minorEastAsia" w:eastAsiaTheme="minorEastAsia"/>
          <w:sz w:val="18"/>
          <w:szCs w:val="18"/>
        </w:rPr>
        <w:t>，冠心病</w:t>
      </w:r>
      <w:r>
        <w:rPr>
          <w:rFonts w:hint="eastAsia" w:asciiTheme="minorEastAsia" w:hAnsiTheme="minorEastAsia" w:eastAsiaTheme="minorEastAsia"/>
          <w:sz w:val="18"/>
          <w:szCs w:val="18"/>
        </w:rPr>
        <w:t>/</w:t>
      </w:r>
      <w:r>
        <w:rPr>
          <w:rFonts w:asciiTheme="minorEastAsia" w:hAnsiTheme="minorEastAsia" w:eastAsiaTheme="minorEastAsia"/>
          <w:sz w:val="18"/>
          <w:szCs w:val="18"/>
        </w:rPr>
        <w:t>冠状动脉狭窄，心</w:t>
      </w:r>
      <w:r>
        <w:rPr>
          <w:rFonts w:hint="eastAsia" w:asciiTheme="minorEastAsia" w:hAnsiTheme="minorEastAsia" w:eastAsiaTheme="minorEastAsia"/>
          <w:sz w:val="18"/>
          <w:szCs w:val="18"/>
        </w:rPr>
        <w:t>肌</w:t>
      </w:r>
      <w:r>
        <w:rPr>
          <w:rFonts w:asciiTheme="minorEastAsia" w:hAnsiTheme="minorEastAsia" w:eastAsiaTheme="minorEastAsia"/>
          <w:sz w:val="18"/>
          <w:szCs w:val="18"/>
        </w:rPr>
        <w:t>梗死，心脏瓣膜病</w:t>
      </w:r>
      <w:r>
        <w:rPr>
          <w:rFonts w:hint="eastAsia" w:asciiTheme="minorEastAsia" w:hAnsiTheme="minorEastAsia" w:eastAsiaTheme="minorEastAsia"/>
          <w:sz w:val="18"/>
          <w:szCs w:val="18"/>
        </w:rPr>
        <w:t>等)，呼吸系统疾病(肺炎、支气管炎、气胸等)，消化系统疾病(疝气、痔疮、胆结石、胆囊炎、慢性胃炎、</w:t>
      </w:r>
      <w:r>
        <w:rPr>
          <w:rFonts w:asciiTheme="minorEastAsia" w:hAnsiTheme="minorEastAsia" w:eastAsiaTheme="minorEastAsia"/>
          <w:sz w:val="18"/>
          <w:szCs w:val="18"/>
        </w:rPr>
        <w:t>慢性肝炎</w:t>
      </w:r>
      <w:r>
        <w:rPr>
          <w:rFonts w:hint="eastAsia" w:asciiTheme="minorEastAsia" w:hAnsiTheme="minorEastAsia" w:eastAsiaTheme="minorEastAsia"/>
          <w:sz w:val="18"/>
          <w:szCs w:val="18"/>
        </w:rPr>
        <w:t>、</w:t>
      </w:r>
      <w:r>
        <w:rPr>
          <w:rFonts w:asciiTheme="minorEastAsia" w:hAnsiTheme="minorEastAsia" w:eastAsiaTheme="minorEastAsia"/>
          <w:sz w:val="18"/>
          <w:szCs w:val="18"/>
        </w:rPr>
        <w:t>肝硬化</w:t>
      </w:r>
      <w:r>
        <w:rPr>
          <w:rFonts w:hint="eastAsia" w:asciiTheme="minorEastAsia" w:hAnsiTheme="minorEastAsia" w:eastAsiaTheme="minorEastAsia"/>
          <w:sz w:val="18"/>
          <w:szCs w:val="18"/>
        </w:rPr>
        <w:t>等)，泌尿系统疾病(尿道结石或发炎, 蛋白尿、血尿等)，</w:t>
      </w:r>
      <w:r>
        <w:rPr>
          <w:rFonts w:asciiTheme="minorEastAsia" w:hAnsiTheme="minorEastAsia" w:eastAsiaTheme="minorEastAsia"/>
          <w:sz w:val="18"/>
          <w:szCs w:val="18"/>
        </w:rPr>
        <w:t>骨骼</w:t>
      </w:r>
      <w:r>
        <w:rPr>
          <w:rFonts w:hint="eastAsia" w:asciiTheme="minorEastAsia" w:hAnsiTheme="minorEastAsia" w:eastAsiaTheme="minorEastAsia"/>
          <w:sz w:val="18"/>
          <w:szCs w:val="18"/>
        </w:rPr>
        <w:t>、肌肉、结缔组织的疾病(骨盆腔发炎、肋膜炎、骨折、淋巴腺肿大、椎间盘突出、关节炎、良性肿瘤等)，内分泌、血液系统疾病(甲状腺肥大或发炎、甲状腺肿、甲状腺</w:t>
      </w:r>
      <w:r>
        <w:rPr>
          <w:rFonts w:asciiTheme="minorEastAsia" w:hAnsiTheme="minorEastAsia" w:eastAsiaTheme="minorEastAsia"/>
          <w:sz w:val="18"/>
          <w:szCs w:val="18"/>
        </w:rPr>
        <w:t>结节</w:t>
      </w:r>
      <w:r>
        <w:rPr>
          <w:rFonts w:hint="eastAsia" w:asciiTheme="minorEastAsia" w:hAnsiTheme="minorEastAsia" w:eastAsiaTheme="minorEastAsia"/>
          <w:sz w:val="18"/>
          <w:szCs w:val="18"/>
        </w:rPr>
        <w:t>、肾上腺疾病、</w:t>
      </w:r>
      <w:r>
        <w:rPr>
          <w:rFonts w:asciiTheme="minorEastAsia" w:hAnsiTheme="minorEastAsia" w:eastAsiaTheme="minorEastAsia"/>
          <w:sz w:val="18"/>
          <w:szCs w:val="18"/>
        </w:rPr>
        <w:t>糖尿病</w:t>
      </w:r>
      <w:r>
        <w:rPr>
          <w:rFonts w:hint="eastAsia" w:asciiTheme="minorEastAsia" w:hAnsiTheme="minorEastAsia" w:eastAsiaTheme="minorEastAsia"/>
          <w:sz w:val="18"/>
          <w:szCs w:val="18"/>
        </w:rPr>
        <w:t>等)，五官科疾病(弱视、角膜疾病，乳突炎、中耳炎、梅尼尔氏症、鼻窦炎、鼻中隔弯曲等)，静脉曲张、血管瘤等疾病，以上未提及的肿瘤，</w:t>
      </w:r>
      <w:r>
        <w:rPr>
          <w:rFonts w:asciiTheme="minorEastAsia" w:hAnsiTheme="minorEastAsia" w:eastAsiaTheme="minorEastAsia"/>
          <w:sz w:val="18"/>
          <w:szCs w:val="18"/>
        </w:rPr>
        <w:t>结节，囊肿，息肉</w:t>
      </w:r>
      <w:r>
        <w:rPr>
          <w:rFonts w:hint="eastAsia" w:asciiTheme="minorEastAsia" w:hAnsiTheme="minorEastAsia" w:eastAsiaTheme="minorEastAsia"/>
          <w:sz w:val="18"/>
          <w:szCs w:val="18"/>
        </w:rPr>
        <w:t>和癌症，</w:t>
      </w:r>
      <w:r>
        <w:rPr>
          <w:rFonts w:asciiTheme="minorEastAsia" w:hAnsiTheme="minorEastAsia" w:eastAsiaTheme="minorEastAsia"/>
          <w:sz w:val="18"/>
          <w:szCs w:val="18"/>
        </w:rPr>
        <w:t>原因不明的发热</w:t>
      </w:r>
      <w:r>
        <w:rPr>
          <w:rFonts w:hint="eastAsia" w:asciiTheme="minorEastAsia" w:hAnsiTheme="minorEastAsia" w:eastAsiaTheme="minorEastAsia"/>
          <w:sz w:val="18"/>
          <w:szCs w:val="18"/>
        </w:rPr>
        <w:t>、消瘦（体重一年内下降超过5公斤）、肥胖等，</w:t>
      </w:r>
      <w:r>
        <w:rPr>
          <w:rFonts w:asciiTheme="minorEastAsia" w:hAnsiTheme="minorEastAsia" w:eastAsiaTheme="minorEastAsia"/>
          <w:sz w:val="18"/>
          <w:szCs w:val="18"/>
        </w:rPr>
        <w:t>有无职业病</w:t>
      </w:r>
      <w:r>
        <w:rPr>
          <w:rFonts w:hint="eastAsia" w:asciiTheme="minorEastAsia" w:hAnsiTheme="minorEastAsia" w:eastAsiaTheme="minorEastAsia"/>
          <w:sz w:val="18"/>
          <w:szCs w:val="18"/>
        </w:rPr>
        <w:t>、酒精中毒、其他药品中毒。</w:t>
      </w:r>
    </w:p>
    <w:p>
      <w:pPr>
        <w:pStyle w:val="9"/>
        <w:widowControl w:val="0"/>
        <w:numPr>
          <w:ilvl w:val="0"/>
          <w:numId w:val="2"/>
        </w:numPr>
        <w:adjustRightInd/>
        <w:snapToGrid/>
        <w:spacing w:after="0" w:line="280" w:lineRule="exact"/>
        <w:ind w:firstLineChars="0"/>
        <w:jc w:val="both"/>
        <w:rPr>
          <w:rStyle w:val="10"/>
          <w:rFonts w:asciiTheme="minorEastAsia" w:hAnsiTheme="minorEastAsia" w:eastAsiaTheme="minorEastAsia"/>
          <w:kern w:val="2"/>
          <w:sz w:val="18"/>
          <w:szCs w:val="18"/>
        </w:rPr>
      </w:pPr>
      <w:r>
        <w:rPr>
          <w:rStyle w:val="10"/>
          <w:rFonts w:hint="eastAsia" w:cs="Tahoma" w:asciiTheme="minorEastAsia" w:hAnsiTheme="minorEastAsia" w:eastAsiaTheme="minorEastAsia"/>
          <w:sz w:val="18"/>
          <w:szCs w:val="18"/>
        </w:rPr>
        <w:t>若被保险人为年满18周岁女性：</w:t>
      </w:r>
    </w:p>
    <w:p>
      <w:pPr>
        <w:pStyle w:val="9"/>
        <w:widowControl w:val="0"/>
        <w:adjustRightInd/>
        <w:snapToGrid/>
        <w:spacing w:after="0" w:line="280" w:lineRule="exact"/>
        <w:ind w:left="840" w:firstLine="0" w:firstLineChars="0"/>
        <w:jc w:val="both"/>
        <w:rPr>
          <w:rFonts w:asciiTheme="minorEastAsia" w:hAnsiTheme="minorEastAsia" w:eastAsiaTheme="minorEastAsia"/>
          <w:sz w:val="18"/>
          <w:szCs w:val="18"/>
        </w:rPr>
      </w:pPr>
      <w:r>
        <w:rPr>
          <w:rStyle w:val="10"/>
          <w:rFonts w:hint="eastAsia" w:cs="Tahoma" w:asciiTheme="minorEastAsia" w:hAnsiTheme="minorEastAsia" w:eastAsiaTheme="minorEastAsia"/>
          <w:sz w:val="18"/>
          <w:szCs w:val="18"/>
        </w:rPr>
        <w:t>您及您本次投保的家人目前是否怀孕？目前或既往怀孕及生产期间是否有合并症？例如：蛋白尿、血尿、高血压、糖尿病等。是否曾有阴道不规则流血、乳房肿块、溢乳、腋下淋巴结肿大、乳腺增生或纤维瘤、其他乳腺疾病？是否曾有子宫肌瘤、内膜异位症、子宫颈上皮不典型增生、卵巢囊肿、畸胎瘤等？</w:t>
      </w:r>
      <w:r>
        <w:rPr>
          <w:rFonts w:asciiTheme="minorEastAsia" w:hAnsiTheme="minorEastAsia" w:eastAsiaTheme="minorEastAsia"/>
          <w:sz w:val="18"/>
          <w:szCs w:val="18"/>
        </w:rPr>
        <w:t xml:space="preserve"> </w:t>
      </w:r>
    </w:p>
    <w:p>
      <w:pPr>
        <w:pStyle w:val="9"/>
        <w:widowControl w:val="0"/>
        <w:numPr>
          <w:ilvl w:val="0"/>
          <w:numId w:val="2"/>
        </w:numPr>
        <w:adjustRightInd/>
        <w:snapToGrid/>
        <w:spacing w:after="0" w:line="280" w:lineRule="exact"/>
        <w:ind w:firstLineChars="0"/>
        <w:jc w:val="both"/>
        <w:rPr>
          <w:rFonts w:asciiTheme="minorEastAsia" w:hAnsiTheme="minorEastAsia" w:eastAsiaTheme="minorEastAsia"/>
          <w:sz w:val="18"/>
          <w:szCs w:val="18"/>
        </w:rPr>
      </w:pPr>
      <w:r>
        <w:rPr>
          <w:rFonts w:hint="eastAsia" w:asciiTheme="minorEastAsia" w:hAnsiTheme="minorEastAsia" w:eastAsiaTheme="minorEastAsia"/>
          <w:sz w:val="18"/>
          <w:szCs w:val="18"/>
        </w:rPr>
        <w:t>若被保险人年龄在14周岁以下：</w:t>
      </w:r>
    </w:p>
    <w:p>
      <w:pPr>
        <w:pStyle w:val="9"/>
        <w:widowControl w:val="0"/>
        <w:numPr>
          <w:ilvl w:val="0"/>
          <w:numId w:val="3"/>
        </w:numPr>
        <w:adjustRightInd/>
        <w:snapToGrid/>
        <w:spacing w:after="0" w:line="280" w:lineRule="exact"/>
        <w:ind w:firstLineChars="0"/>
        <w:jc w:val="both"/>
        <w:rPr>
          <w:rStyle w:val="10"/>
          <w:rFonts w:cs="Tahoma" w:asciiTheme="minorEastAsia" w:hAnsiTheme="minorEastAsia" w:eastAsiaTheme="minorEastAsia"/>
          <w:kern w:val="2"/>
          <w:sz w:val="18"/>
          <w:szCs w:val="18"/>
        </w:rPr>
      </w:pPr>
      <w:r>
        <w:rPr>
          <w:rStyle w:val="10"/>
          <w:rFonts w:hint="eastAsia" w:cs="Tahoma" w:asciiTheme="minorEastAsia" w:hAnsiTheme="minorEastAsia" w:eastAsiaTheme="minorEastAsia"/>
          <w:sz w:val="18"/>
          <w:szCs w:val="18"/>
        </w:rPr>
        <w:t>被保险人出生时是否体重低于2.5公斤，是否有早产、难产、窒息和抢救史？</w:t>
      </w:r>
    </w:p>
    <w:p>
      <w:pPr>
        <w:pStyle w:val="9"/>
        <w:widowControl w:val="0"/>
        <w:numPr>
          <w:ilvl w:val="0"/>
          <w:numId w:val="3"/>
        </w:numPr>
        <w:adjustRightInd/>
        <w:snapToGrid/>
        <w:spacing w:after="0" w:line="280" w:lineRule="exact"/>
        <w:ind w:firstLineChars="0"/>
        <w:jc w:val="both"/>
        <w:rPr>
          <w:rFonts w:asciiTheme="minorEastAsia" w:hAnsiTheme="minorEastAsia" w:eastAsiaTheme="minorEastAsia"/>
          <w:color w:val="333333"/>
          <w:sz w:val="18"/>
          <w:szCs w:val="18"/>
        </w:rPr>
      </w:pPr>
      <w:r>
        <w:rPr>
          <w:rStyle w:val="10"/>
          <w:rFonts w:hint="eastAsia" w:cs="Tahoma" w:asciiTheme="minorEastAsia" w:hAnsiTheme="minorEastAsia" w:eastAsiaTheme="minorEastAsia"/>
          <w:sz w:val="18"/>
          <w:szCs w:val="18"/>
        </w:rPr>
        <w:t>被保险人是否存在先天性或遗传性疾病或畸形?是否有生长发育异常？是否有心脏、血管、神经、运动或智力方面异常？是否因病住院治疗或手术？</w:t>
      </w:r>
    </w:p>
    <w:p>
      <w:pPr>
        <w:pStyle w:val="8"/>
        <w:numPr>
          <w:ilvl w:val="0"/>
          <w:numId w:val="1"/>
        </w:numPr>
        <w:spacing w:line="280" w:lineRule="exact"/>
        <w:ind w:firstLineChars="0"/>
        <w:rPr>
          <w:rFonts w:asciiTheme="minorEastAsia" w:hAnsiTheme="minorEastAsia"/>
          <w:sz w:val="18"/>
          <w:szCs w:val="18"/>
        </w:rPr>
      </w:pPr>
      <w:r>
        <w:rPr>
          <w:rFonts w:hint="eastAsia" w:asciiTheme="minorEastAsia" w:hAnsiTheme="minorEastAsia"/>
          <w:sz w:val="18"/>
          <w:szCs w:val="18"/>
        </w:rPr>
        <w:t>本人已知晓被保险人若已参加社会医疗保险情形时，若未从社会医疗保险、公费医疗或其他途径（包括工作单位、保险人在内的任何商业保险机构等）取得医疗费用补偿，对被保险人所支出的合理且必要的各项医疗费用，保险人扣除本保险合同中约定的免赔额后，在保险金额、各项费用的年限额、最高给付日数范围内，按照约定的给付比例，再乘以60%给付各项保险金。</w:t>
      </w:r>
    </w:p>
    <w:p>
      <w:pPr>
        <w:pStyle w:val="8"/>
        <w:numPr>
          <w:ilvl w:val="0"/>
          <w:numId w:val="1"/>
        </w:numPr>
        <w:spacing w:line="280" w:lineRule="exact"/>
        <w:ind w:firstLineChars="0"/>
        <w:jc w:val="left"/>
        <w:rPr>
          <w:rFonts w:asciiTheme="minorEastAsia" w:hAnsiTheme="minorEastAsia"/>
          <w:sz w:val="18"/>
          <w:szCs w:val="18"/>
        </w:rPr>
      </w:pPr>
      <w:r>
        <w:rPr>
          <w:rFonts w:hint="eastAsia" w:asciiTheme="minorEastAsia" w:hAnsiTheme="minorEastAsia"/>
          <w:sz w:val="18"/>
          <w:szCs w:val="18"/>
        </w:rPr>
        <w:t>本人已知晓在保险期间内，保险人仅对被保险人累计住院一百八十日内发生的住院医疗费用承担保险责任。</w:t>
      </w:r>
    </w:p>
    <w:p>
      <w:pPr>
        <w:pStyle w:val="8"/>
        <w:numPr>
          <w:ilvl w:val="0"/>
          <w:numId w:val="1"/>
        </w:numPr>
        <w:spacing w:line="280" w:lineRule="exact"/>
        <w:ind w:firstLineChars="0"/>
        <w:rPr>
          <w:rFonts w:asciiTheme="minorEastAsia" w:hAnsiTheme="minorEastAsia"/>
          <w:sz w:val="18"/>
          <w:szCs w:val="18"/>
        </w:rPr>
      </w:pPr>
      <w:r>
        <w:rPr>
          <w:rFonts w:hint="eastAsia" w:asciiTheme="minorEastAsia" w:hAnsiTheme="minorEastAsia"/>
          <w:sz w:val="18"/>
          <w:szCs w:val="18"/>
        </w:rPr>
        <w:t>本人已知晓《附加团体门急诊医疗保险》仅承担被保险人“特殊门诊医疗保险金”、“住院前后门急诊医疗保险金”责任。</w:t>
      </w:r>
    </w:p>
    <w:p>
      <w:pPr>
        <w:pStyle w:val="8"/>
        <w:numPr>
          <w:ilvl w:val="0"/>
          <w:numId w:val="1"/>
        </w:numPr>
        <w:spacing w:line="280" w:lineRule="exact"/>
        <w:ind w:firstLineChars="0"/>
        <w:rPr>
          <w:rFonts w:asciiTheme="minorEastAsia" w:hAnsiTheme="minorEastAsia"/>
          <w:sz w:val="18"/>
          <w:szCs w:val="18"/>
        </w:rPr>
      </w:pPr>
      <w:r>
        <w:rPr>
          <w:rFonts w:hint="eastAsia" w:asciiTheme="minorEastAsia" w:hAnsiTheme="minorEastAsia"/>
          <w:sz w:val="18"/>
          <w:szCs w:val="18"/>
        </w:rPr>
        <w:t>本人已知晓特殊门诊医疗保险金是被保险人因疾病或意外伤害在医院进行门诊肾透析、门诊恶性肿瘤电疗、化疗或放疗，保险人按照被保险人在医院治疗发生的合理且必要的特殊门诊医疗费用，在扣除约定的免赔额后，按照对应的给付比例在年限额范围内给付特殊门诊医疗保险金。</w:t>
      </w:r>
    </w:p>
    <w:p>
      <w:pPr>
        <w:pStyle w:val="8"/>
        <w:numPr>
          <w:ilvl w:val="0"/>
          <w:numId w:val="1"/>
        </w:numPr>
        <w:spacing w:line="280" w:lineRule="exact"/>
        <w:ind w:firstLineChars="0"/>
        <w:rPr>
          <w:rFonts w:asciiTheme="minorEastAsia" w:hAnsiTheme="minorEastAsia"/>
          <w:sz w:val="18"/>
          <w:szCs w:val="18"/>
        </w:rPr>
      </w:pPr>
      <w:r>
        <w:rPr>
          <w:rFonts w:hint="eastAsia" w:asciiTheme="minorEastAsia" w:hAnsiTheme="minorEastAsia"/>
          <w:sz w:val="18"/>
          <w:szCs w:val="18"/>
        </w:rPr>
        <w:t>本人已知晓住院前后门急诊医疗保险金是因疾病或意外伤害经医院诊断必须住院治疗，保险人对其在该次住院前七日内（含住院当日）以及出院后三十日内（含出院当日）因与该次住院相同的原因所进行的门急诊治疗发生的合理且必要的门急诊治疗费用，在扣除约定的免赔额后，按照对应的给付比例在年限额范围内给付住院前后门急诊医疗保险金。</w:t>
      </w:r>
    </w:p>
    <w:p>
      <w:pPr>
        <w:spacing w:line="600" w:lineRule="auto"/>
        <w:jc w:val="left"/>
        <w:rPr>
          <w:sz w:val="18"/>
          <w:szCs w:val="18"/>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b/>
        <w:sz w:val="24"/>
        <w:szCs w:val="24"/>
      </w:rPr>
    </w:pPr>
    <w:r>
      <w:rPr>
        <w:rFonts w:asciiTheme="majorHAnsi" w:hAnsiTheme="majorHAnsi" w:eastAsiaTheme="majorEastAsia" w:cstheme="majorBidi"/>
        <w:sz w:val="20"/>
        <w:szCs w:val="20"/>
        <w:lang w:val="zh-CN"/>
      </w:rPr>
      <w:t xml:space="preserve">页 </w:t>
    </w:r>
    <w:r>
      <w:rPr>
        <w:sz w:val="20"/>
        <w:szCs w:val="20"/>
      </w:rPr>
      <w:fldChar w:fldCharType="begin"/>
    </w:r>
    <w:r>
      <w:rPr>
        <w:sz w:val="20"/>
        <w:szCs w:val="20"/>
      </w:rPr>
      <w:instrText xml:space="preserve">PAGE    \* MERGEFORMAT</w:instrText>
    </w:r>
    <w:r>
      <w:rPr>
        <w:sz w:val="20"/>
        <w:szCs w:val="20"/>
      </w:rPr>
      <w:fldChar w:fldCharType="separate"/>
    </w:r>
    <w:r>
      <w:rPr>
        <w:rFonts w:asciiTheme="majorHAnsi" w:hAnsiTheme="majorHAnsi" w:eastAsiaTheme="majorEastAsia" w:cstheme="majorBidi"/>
        <w:sz w:val="20"/>
        <w:szCs w:val="20"/>
        <w:lang w:val="zh-CN"/>
      </w:rPr>
      <w:t>1</w:t>
    </w:r>
    <w:r>
      <w:rPr>
        <w:rFonts w:asciiTheme="majorHAnsi" w:hAnsiTheme="majorHAnsi" w:eastAsiaTheme="majorEastAsia" w:cstheme="majorBidi"/>
        <w:sz w:val="20"/>
        <w:szCs w:val="2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F22F0"/>
    <w:multiLevelType w:val="multilevel"/>
    <w:tmpl w:val="1B6F22F0"/>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4B4B36EE"/>
    <w:multiLevelType w:val="multilevel"/>
    <w:tmpl w:val="4B4B36E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6662068"/>
    <w:multiLevelType w:val="multilevel"/>
    <w:tmpl w:val="66662068"/>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1D5"/>
    <w:rsid w:val="000A2E9D"/>
    <w:rsid w:val="00152BCE"/>
    <w:rsid w:val="001D72B1"/>
    <w:rsid w:val="001E2061"/>
    <w:rsid w:val="00210F16"/>
    <w:rsid w:val="0036553D"/>
    <w:rsid w:val="00537557"/>
    <w:rsid w:val="0063704D"/>
    <w:rsid w:val="00654207"/>
    <w:rsid w:val="006823FC"/>
    <w:rsid w:val="00806058"/>
    <w:rsid w:val="0084746E"/>
    <w:rsid w:val="00884AC6"/>
    <w:rsid w:val="008C02C2"/>
    <w:rsid w:val="00B151D5"/>
    <w:rsid w:val="00D20E80"/>
    <w:rsid w:val="00E9008F"/>
    <w:rsid w:val="00EC20AA"/>
    <w:rsid w:val="00EC4F50"/>
    <w:rsid w:val="00FA78E9"/>
    <w:rsid w:val="00FF7579"/>
    <w:rsid w:val="176D6F2B"/>
    <w:rsid w:val="1F186DA5"/>
    <w:rsid w:val="7F323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 w:type="paragraph" w:customStyle="1" w:styleId="8">
    <w:name w:val="List Paragraph"/>
    <w:basedOn w:val="1"/>
    <w:qFormat/>
    <w:uiPriority w:val="34"/>
    <w:pPr>
      <w:ind w:firstLine="420" w:firstLineChars="200"/>
    </w:pPr>
  </w:style>
  <w:style w:type="paragraph" w:customStyle="1" w:styleId="9">
    <w:name w:val="列出段落1"/>
    <w:basedOn w:val="1"/>
    <w:qFormat/>
    <w:uiPriority w:val="34"/>
    <w:pPr>
      <w:widowControl/>
      <w:adjustRightInd w:val="0"/>
      <w:snapToGrid w:val="0"/>
      <w:spacing w:after="200"/>
      <w:ind w:firstLine="420" w:firstLineChars="200"/>
      <w:jc w:val="left"/>
    </w:pPr>
    <w:rPr>
      <w:rFonts w:ascii="Tahoma" w:hAnsi="Tahoma" w:eastAsia="微软雅黑"/>
      <w:kern w:val="0"/>
      <w:sz w:val="22"/>
    </w:rPr>
  </w:style>
  <w:style w:type="character" w:customStyle="1" w:styleId="10">
    <w:name w:val="hiltext1"/>
    <w:basedOn w:val="4"/>
    <w:qFormat/>
    <w:uiPriority w:val="0"/>
    <w:rPr>
      <w:color w:val="333333"/>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382</Words>
  <Characters>2184</Characters>
  <Lines>18</Lines>
  <Paragraphs>5</Paragraphs>
  <ScaleCrop>false</ScaleCrop>
  <LinksUpToDate>false</LinksUpToDate>
  <CharactersWithSpaces>2561</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2017-07-11T09:33:00Z</dcterms:created>
  <dc:creator>张博伦</dc:creator>
  <cp:lastModifiedBy>Administrator</cp:lastModifiedBy>
  <dcterms:modified xsi:type="dcterms:W3CDTF">2017-10-20T06:51:59Z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